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Poppins-Bold.odttf" ContentType="application/vnd.openxmlformats-officedocument.obfuscatedFont"/>
  <Override PartName="/word/fonts/Poppins-Regular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</w:tblPr>
      <w:tblGrid>
        <w:gridCol w:w="2154"/>
        <w:gridCol w:w="8050"/>
      </w:tblGrid>
      <w:tr>
        <w:tc>
          <w:tcPr>
            <w:tcW w:type="dxa" w:w="2154"/>
            <w:vAlign w:val="center"/>
            <w:shd w:val="clear" w:color="auto" w:fill="E2E2E2"/>
          </w:tcPr>
          <w:p>
            <w:pPr>
              <w:spacing w:before="0" w:after="40" w:line="276" w:lineRule="auto"/>
              <w:jc w:val="center"/>
            </w:pPr>
            <w:r>
              <w:rPr>
                <w:rFonts w:ascii="Poppins" w:hAnsi="Poppins" w:cs="Poppins"/>
                <w:b/>
                <w:sz w:val="22"/>
              </w:rPr>
              <w:t>Workshop Title</w:t>
            </w:r>
          </w:p>
        </w:tc>
        <w:tc>
          <w:tcPr>
            <w:tcW w:type="dxa" w:w="8050"/>
            <w:vAlign w:val="center"/>
            <w:shd w:val="clear" w:color="auto" w:fill="E2E2E2"/>
          </w:tcPr>
          <w:p>
            <w:pPr>
              <w:spacing w:before="0" w:after="40" w:line="276" w:lineRule="auto"/>
              <w:jc w:val="left"/>
            </w:pPr>
            <w:r>
              <w:rPr>
                <w:rFonts w:ascii="Poppins" w:hAnsi="Poppins" w:cs="Poppins"/>
                <w:b/>
                <w:sz w:val="27"/>
              </w:rPr>
              <w:t>Google Gemini Untuk Workspace</w:t>
            </w:r>
          </w:p>
        </w:tc>
      </w:tr>
      <w:tr>
        <w:tc>
          <w:tcPr>
            <w:tcW w:type="dxa" w:w="2154"/>
            <w:vAlign w:val="center"/>
          </w:tcPr>
          <w:p>
            <w:pPr>
              <w:spacing w:before="0" w:after="40" w:line="276" w:lineRule="auto"/>
              <w:jc w:val="center"/>
            </w:pPr>
            <w:r>
              <w:rPr>
                <w:rFonts w:ascii="Poppins" w:hAnsi="Poppins" w:cs="Poppins"/>
                <w:b/>
                <w:sz w:val="22"/>
              </w:rPr>
              <w:t>Workshop Duration</w:t>
            </w:r>
          </w:p>
        </w:tc>
        <w:tc>
          <w:tcPr>
            <w:tcW w:type="dxa" w:w="8050"/>
            <w:vAlign w:val="center"/>
          </w:tcPr>
          <w:p>
            <w:pPr>
              <w:spacing w:before="0" w:after="40" w:line="276" w:lineRule="auto"/>
            </w:pPr>
            <w:r>
              <w:rPr>
                <w:rFonts w:ascii="Poppins" w:hAnsi="Poppins" w:cs="Poppins"/>
                <w:b w:val="0"/>
                <w:sz w:val="21"/>
              </w:rPr>
              <w:t>2 Hari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spacing w:before="0" w:after="40" w:line="276" w:lineRule="auto"/>
              <w:jc w:val="center"/>
            </w:pPr>
            <w:r>
              <w:rPr>
                <w:rFonts w:ascii="Poppins" w:hAnsi="Poppins" w:cs="Poppins"/>
                <w:b/>
                <w:sz w:val="22"/>
              </w:rPr>
              <w:t>Workshop Description</w:t>
            </w:r>
          </w:p>
        </w:tc>
        <w:tc>
          <w:tcPr>
            <w:tcW w:type="dxa" w:w="8050"/>
            <w:vAlign w:val="top"/>
          </w:tcPr>
          <w:p>
            <w:pPr>
              <w:spacing w:before="0" w:after="120" w:line="307" w:lineRule="auto"/>
              <w:jc w:val="both"/>
            </w:pPr>
            <w:r>
              <w:rPr>
                <w:rFonts w:ascii="Poppins" w:hAnsi="Poppins" w:cs="Poppins"/>
                <w:b w:val="0"/>
                <w:sz w:val="21"/>
              </w:rPr>
              <w:t>Bina aliran kerja komunikasi, dokumen dan briefing dengan Gemini untuk organisasi yang menggunakan Google Workspace. Aktiviti disesuaikan dengan akses akaun dan tetapan admin.</w:t>
            </w:r>
          </w:p>
          <w:p>
            <w:pPr>
              <w:spacing w:before="0" w:after="120" w:line="307" w:lineRule="auto"/>
              <w:jc w:val="both"/>
            </w:pPr>
            <w:r>
              <w:rPr>
                <w:rFonts w:ascii="Poppins" w:hAnsi="Poppins" w:cs="Poppins"/>
                <w:b w:val="0"/>
                <w:sz w:val="21"/>
              </w:rPr>
              <w:t>Agenda asas ini boleh disesuaikan mengikut fungsi jabatan, tahap peserta dan akses perisian. Skop akhir dipersetujui dalam cadangan program.</w:t>
            </w:r>
          </w:p>
          <w:p>
            <w:pPr>
              <w:spacing w:before="0" w:after="120" w:line="307" w:lineRule="auto"/>
              <w:jc w:val="both"/>
            </w:pPr>
            <w:r>
              <w:rPr>
                <w:rFonts w:ascii="Poppins" w:hAnsi="Poppins" w:cs="Poppins"/>
                <w:b w:val="0"/>
                <w:sz w:val="21"/>
              </w:rPr>
              <w:t>Dikemas kini pada 5 September 2026. Contoh latihan menggunakan data rekaan atau bahan yang dibenarkan organisasi.</w:t>
            </w:r>
          </w:p>
          <w:p>
            <w:pPr>
              <w:spacing w:before="0" w:after="120" w:line="307" w:lineRule="auto"/>
              <w:jc w:val="both"/>
            </w:pPr>
            <w:r>
              <w:rPr>
                <w:rFonts w:ascii="Poppins" w:hAnsi="Poppins" w:cs="Poppins"/>
                <w:b w:val="0"/>
                <w:sz w:val="21"/>
              </w:rPr>
              <w:t>Keperluan peserta: Laptop, internet dan akaun Google Workspace organisasi.</w:t>
            </w:r>
          </w:p>
          <w:p>
            <w:pPr>
              <w:spacing w:before="0" w:after="120" w:line="307" w:lineRule="auto"/>
              <w:jc w:val="both"/>
            </w:pPr>
            <w:r>
              <w:rPr>
                <w:rFonts w:ascii="Poppins" w:hAnsi="Poppins" w:cs="Poppins"/>
                <w:b w:val="0"/>
                <w:sz w:val="21"/>
              </w:rPr>
              <w:t>Keperluan peserta: Akses Gemini bergantung pada edisi, lesen, tetapan admin dan rollout. Semakan akses dibuat sebelum agenda akhir dipersetujui.</w:t>
            </w:r>
          </w:p>
          <w:p>
            <w:pPr>
              <w:spacing w:before="0" w:after="120" w:line="307" w:lineRule="auto"/>
              <w:jc w:val="both"/>
            </w:pPr>
            <w:r>
              <w:rPr>
                <w:rFonts w:ascii="Poppins" w:hAnsi="Poppins" w:cs="Poppins"/>
                <w:b w:val="0"/>
                <w:sz w:val="21"/>
              </w:rPr>
              <w:t>Keperluan peserta: Bawa bahan contoh yang dibenarkan. Latihan menggunakan data rekaan jika dokumen kerja tidak boleh dikongsi.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spacing w:before="0" w:after="40" w:line="276" w:lineRule="auto"/>
              <w:jc w:val="center"/>
            </w:pPr>
            <w:r>
              <w:rPr>
                <w:rFonts w:ascii="Poppins" w:hAnsi="Poppins" w:cs="Poppins"/>
                <w:b/>
                <w:sz w:val="22"/>
              </w:rPr>
              <w:t>Who Should Attend?</w:t>
            </w:r>
          </w:p>
        </w:tc>
        <w:tc>
          <w:tcPr>
            <w:tcW w:type="dxa" w:w="8050"/>
            <w:vAlign w:val="top"/>
          </w:tcPr>
          <w:p>
            <w:pPr>
              <w:spacing w:before="0" w:after="80" w:line="307" w:lineRule="auto"/>
              <w:jc w:val="both"/>
            </w:pPr>
            <w:r>
              <w:rPr>
                <w:rFonts w:ascii="Poppins" w:hAnsi="Poppins" w:cs="Poppins"/>
                <w:b w:val="0"/>
                <w:sz w:val="21"/>
              </w:rPr>
              <w:t>Program ini sesuai untuk: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Pasukan yang menggunakan Google Workspace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Unit perancangan, penyelidikan dan pelaporan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Pegawai yang menyediakan briefing dan bahan pembentangan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spacing w:before="0" w:after="40" w:line="276" w:lineRule="auto"/>
              <w:jc w:val="center"/>
            </w:pPr>
            <w:r>
              <w:rPr>
                <w:rFonts w:ascii="Poppins" w:hAnsi="Poppins" w:cs="Poppins"/>
                <w:b/>
                <w:sz w:val="22"/>
              </w:rPr>
              <w:t>Workshop Learning Objectives</w:t>
            </w:r>
          </w:p>
        </w:tc>
        <w:tc>
          <w:tcPr>
            <w:tcW w:type="dxa" w:w="8050"/>
            <w:vAlign w:val="top"/>
          </w:tcPr>
          <w:p>
            <w:pPr>
              <w:spacing w:before="0" w:after="80" w:line="307" w:lineRule="auto"/>
            </w:pPr>
            <w:r>
              <w:rPr>
                <w:rFonts w:ascii="Poppins" w:hAnsi="Poppins" w:cs="Poppins"/>
                <w:b w:val="0"/>
                <w:sz w:val="21"/>
              </w:rPr>
              <w:t>Sepanjang bengkel ini, peserta dibimbing untuk:</w:t>
            </w:r>
          </w:p>
          <w:p>
            <w:pPr>
              <w:spacing w:before="20" w:after="60" w:line="307" w:lineRule="auto"/>
              <w:ind w:left="340" w:hanging="227"/>
            </w:pPr>
            <w:r>
              <w:rPr>
                <w:rFonts w:ascii="Poppins" w:hAnsi="Poppins" w:cs="Poppins"/>
                <w:b w:val="0"/>
                <w:sz w:val="21"/>
              </w:rPr>
              <w:t>1.  Memilih aliran kerja Gemini yang sepadan dengan akses akaun organisasi.</w:t>
            </w:r>
          </w:p>
          <w:p>
            <w:pPr>
              <w:spacing w:before="20" w:after="60" w:line="307" w:lineRule="auto"/>
              <w:ind w:left="340" w:hanging="227"/>
            </w:pPr>
            <w:r>
              <w:rPr>
                <w:rFonts w:ascii="Poppins" w:hAnsi="Poppins" w:cs="Poppins"/>
                <w:b w:val="0"/>
                <w:sz w:val="21"/>
              </w:rPr>
              <w:t>2.  Menyediakan draf komunikasi dan dokumen daripada brief.</w:t>
            </w:r>
          </w:p>
          <w:p>
            <w:pPr>
              <w:spacing w:before="20" w:after="60" w:line="307" w:lineRule="auto"/>
              <w:ind w:left="340" w:hanging="227"/>
            </w:pPr>
            <w:r>
              <w:rPr>
                <w:rFonts w:ascii="Poppins" w:hAnsi="Poppins" w:cs="Poppins"/>
                <w:b w:val="0"/>
                <w:sz w:val="21"/>
              </w:rPr>
              <w:t>3.  Menukar bahan rujukan kepada briefing serta rangka pembentangan.</w:t>
            </w:r>
          </w:p>
          <w:p>
            <w:pPr>
              <w:spacing w:before="20" w:after="60" w:line="307" w:lineRule="auto"/>
              <w:ind w:left="340" w:hanging="227"/>
            </w:pPr>
            <w:r>
              <w:rPr>
                <w:rFonts w:ascii="Poppins" w:hAnsi="Poppins" w:cs="Poppins"/>
                <w:b w:val="0"/>
                <w:sz w:val="21"/>
              </w:rPr>
              <w:t>4.  Menyemak sumber, angka dan perkongsian dokumen sebelum digunakan.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spacing w:before="0" w:after="40" w:line="276" w:lineRule="auto"/>
              <w:jc w:val="center"/>
            </w:pPr>
            <w:r>
              <w:rPr>
                <w:rFonts w:ascii="Poppins" w:hAnsi="Poppins" w:cs="Poppins"/>
                <w:b/>
                <w:sz w:val="22"/>
              </w:rPr>
              <w:t>Methodology</w:t>
            </w:r>
          </w:p>
        </w:tc>
        <w:tc>
          <w:tcPr>
            <w:tcW w:type="dxa" w:w="8050"/>
            <w:vAlign w:val="top"/>
          </w:tcPr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Demonstrasi jurulatih dan latihan praktikal berpandu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Tugasan mengikut fungsi kerja peserta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Semakan fakta dan maklum balas terhadap output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Perbincangan serta pembentangan aliran kerja</w:t>
            </w:r>
          </w:p>
        </w:tc>
      </w:tr>
      <w:tr>
        <w:tc>
          <w:tcPr>
            <w:tcW w:type="dxa" w:w="2154"/>
            <w:vAlign w:val="center"/>
          </w:tcPr>
          <w:p>
            <w:pPr>
              <w:spacing w:before="0" w:after="40" w:line="276" w:lineRule="auto"/>
              <w:jc w:val="center"/>
            </w:pPr>
            <w:r>
              <w:rPr>
                <w:rFonts w:ascii="Poppins" w:hAnsi="Poppins" w:cs="Poppins"/>
                <w:b/>
                <w:sz w:val="22"/>
              </w:rPr>
              <w:t>Course Outline</w:t>
            </w:r>
          </w:p>
        </w:tc>
        <w:tc>
          <w:tcPr>
            <w:tcW w:type="dxa" w:w="8050"/>
            <w:vAlign w:val="top"/>
          </w:tcPr>
          <w:p>
            <w:pPr>
              <w:spacing w:before="0" w:after="100" w:line="307" w:lineRule="auto"/>
            </w:pPr>
            <w:r>
              <w:rPr>
                <w:rFonts w:ascii="Poppins" w:hAnsi="Poppins" w:cs="Poppins"/>
                <w:b/>
                <w:sz w:val="22"/>
                <w:u w:val="single"/>
              </w:rPr>
              <w:t>Hari 1 : Akaun, prompt dan komunikasi</w:t>
            </w:r>
          </w:p>
          <w:p>
            <w:pPr>
              <w:spacing w:before="80" w:after="40" w:line="307" w:lineRule="auto"/>
            </w:pPr>
            <w:r>
              <w:rPr>
                <w:rFonts w:ascii="Poppins" w:hAnsi="Poppins" w:cs="Poppins"/>
                <w:b/>
                <w:sz w:val="21"/>
              </w:rPr>
              <w:t>Modul 1: Semakan akses dan peta tugasan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Kenal pasti aplikasi yang tersedia serta tugasan yang sesuai dengan polisi organisasi.</w:t>
            </w:r>
          </w:p>
          <w:p>
            <w:pPr>
              <w:spacing w:before="80" w:after="40" w:line="307" w:lineRule="auto"/>
            </w:pPr>
            <w:r>
              <w:rPr>
                <w:rFonts w:ascii="Poppins" w:hAnsi="Poppins" w:cs="Poppins"/>
                <w:b/>
                <w:sz w:val="21"/>
              </w:rPr>
              <w:t>Modul 2: E-mel dan dokumen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Bina draf komunikasi dan ringkasan berdasarkan brief dalam aplikasi yang tersedia.</w:t>
            </w:r>
          </w:p>
          <w:p>
            <w:pPr>
              <w:spacing w:before="80" w:after="40" w:line="307" w:lineRule="auto"/>
            </w:pPr>
            <w:r>
              <w:rPr>
                <w:rFonts w:ascii="Poppins" w:hAnsi="Poppins" w:cs="Poppins"/>
                <w:b/>
                <w:sz w:val="21"/>
              </w:rPr>
              <w:t>Modul 3: Maklumat berstruktur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Susun bahan contoh kepada jadual tindakan dan semak setiap butiran dengan sumber.</w:t>
            </w:r>
          </w:p>
          <w:p>
            <w:pPr>
              <w:spacing w:before="200" w:after="100" w:line="307" w:lineRule="auto"/>
            </w:pPr>
            <w:r>
              <w:rPr>
                <w:rFonts w:ascii="Poppins" w:hAnsi="Poppins" w:cs="Poppins"/>
                <w:b/>
                <w:sz w:val="22"/>
                <w:u w:val="single"/>
              </w:rPr>
              <w:t>Hari 2 : Briefing dan pembentangan</w:t>
            </w:r>
          </w:p>
          <w:p>
            <w:pPr>
              <w:spacing w:before="80" w:after="40" w:line="307" w:lineRule="auto"/>
            </w:pPr>
            <w:r>
              <w:rPr>
                <w:rFonts w:ascii="Poppins" w:hAnsi="Poppins" w:cs="Poppins"/>
                <w:b/>
                <w:sz w:val="21"/>
              </w:rPr>
              <w:t>Modul 4: Membaca dan menyemak sumber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Bezakan fakta sumber, inferens dan maklumat yang belum dapat disahkan.</w:t>
            </w:r>
          </w:p>
          <w:p>
            <w:pPr>
              <w:spacing w:before="80" w:after="40" w:line="307" w:lineRule="auto"/>
            </w:pPr>
            <w:r>
              <w:rPr>
                <w:rFonts w:ascii="Poppins" w:hAnsi="Poppins" w:cs="Poppins"/>
                <w:b/>
                <w:sz w:val="21"/>
              </w:rPr>
              <w:t>Modul 5: Dari briefing kepada rangka slaid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Sediakan mesej utama, susunan pembentangan dan senarai sumber.</w:t>
            </w:r>
          </w:p>
          <w:p>
            <w:pPr>
              <w:spacing w:before="80" w:after="40" w:line="307" w:lineRule="auto"/>
            </w:pPr>
            <w:r>
              <w:rPr>
                <w:rFonts w:ascii="Poppins" w:hAnsi="Poppins" w:cs="Poppins"/>
                <w:b/>
                <w:sz w:val="21"/>
              </w:rPr>
              <w:t>Modul 6: Aliran kerja jabatan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Gabungkan tugasan menjadi satu proses. Tetapkan pihak yang bertanggungjawab menyemak hasil dan mengawal perkongsian dokumen.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spacing w:before="0" w:after="40" w:line="276" w:lineRule="auto"/>
              <w:jc w:val="center"/>
            </w:pPr>
            <w:r>
              <w:rPr>
                <w:rFonts w:ascii="Poppins" w:hAnsi="Poppins" w:cs="Poppins"/>
                <w:b/>
                <w:sz w:val="22"/>
              </w:rPr>
              <w:t>Tentative</w:t>
            </w:r>
          </w:p>
        </w:tc>
        <w:tc>
          <w:tcPr>
            <w:tcW w:type="dxa" w:w="8050"/>
            <w:vAlign w:val="top"/>
          </w:tcPr>
          <w:p>
            <w:pPr>
              <w:spacing w:before="0" w:after="100" w:line="307" w:lineRule="auto"/>
            </w:pPr>
            <w:r>
              <w:rPr>
                <w:rFonts w:ascii="Poppins" w:hAnsi="Poppins" w:cs="Poppins"/>
                <w:b/>
                <w:sz w:val="22"/>
              </w:rPr>
              <w:t>Hari 1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</w:tblPr>
            <w:tblGrid>
              <w:gridCol w:w="2948"/>
              <w:gridCol w:w="4876"/>
            </w:tblGrid>
            <w:tr>
              <w:tc>
                <w:tcPr>
                  <w:tcW w:type="dxa" w:w="2948"/>
                  <w:shd w:val="clear" w:color="auto" w:fill="E2E2E2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1"/>
                    </w:rPr>
                    <w:t>Masa</w:t>
                  </w:r>
                </w:p>
              </w:tc>
              <w:tc>
                <w:tcPr>
                  <w:tcW w:type="dxa" w:w="4876"/>
                  <w:shd w:val="clear" w:color="auto" w:fill="E2E2E2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1"/>
                    </w:rPr>
                    <w:t>Aktiviti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09:00 AM - 10:30 AM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0"/>
                    </w:rPr>
                    <w:t>Modul 1: Semakan akses dan peta tugasan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10:30 AM - 11:00 AM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Rehat Pagi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11:00 AM - 01:00 PM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0"/>
                    </w:rPr>
                    <w:t>Modul 2: E-mel dan dokumen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01:00 PM - 02:00 PM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Rehat Tengah Hari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02:00 PM - 04:30 PM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0"/>
                    </w:rPr>
                    <w:t>Modul 3: Maklumat berstruktur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04:30 PM - 05:00 PM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Semakan output dan sesi soal jawab</w:t>
                  </w:r>
                </w:p>
              </w:tc>
            </w:tr>
          </w:tbl>
          <w:p/>
          <w:p>
            <w:pPr>
              <w:spacing w:before="200" w:after="100" w:line="307" w:lineRule="auto"/>
            </w:pPr>
            <w:r>
              <w:rPr>
                <w:rFonts w:ascii="Poppins" w:hAnsi="Poppins" w:cs="Poppins"/>
                <w:b/>
                <w:sz w:val="22"/>
              </w:rPr>
              <w:t>Hari 2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</w:tblPr>
            <w:tblGrid>
              <w:gridCol w:w="2948"/>
              <w:gridCol w:w="4876"/>
            </w:tblGrid>
            <w:tr>
              <w:tc>
                <w:tcPr>
                  <w:tcW w:type="dxa" w:w="2948"/>
                  <w:shd w:val="clear" w:color="auto" w:fill="E2E2E2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1"/>
                    </w:rPr>
                    <w:t>Masa</w:t>
                  </w:r>
                </w:p>
              </w:tc>
              <w:tc>
                <w:tcPr>
                  <w:tcW w:type="dxa" w:w="4876"/>
                  <w:shd w:val="clear" w:color="auto" w:fill="E2E2E2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1"/>
                    </w:rPr>
                    <w:t>Aktiviti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09:00 AM - 10:30 AM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0"/>
                    </w:rPr>
                    <w:t>Modul 4: Membaca dan menyemak sumber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10:30 AM - 11:00 AM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Rehat Pagi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11:00 AM - 01:00 PM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0"/>
                    </w:rPr>
                    <w:t>Modul 5: Dari briefing kepada rangka slaid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01:00 PM - 02:00 PM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Rehat Tengah Hari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02:00 PM - 04:30 PM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0"/>
                    </w:rPr>
                    <w:t>Modul 6: Aliran kerja jabatan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04:30 PM - 05:00 PM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Semakan output dan sesi soal jawab</w:t>
                  </w:r>
                </w:p>
              </w:tc>
            </w:tr>
          </w:tbl>
          <w:p/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2268" w:right="850" w:bottom="1361" w:left="850" w:header="34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oppins">
    <w:family w:val="swiss"/>
    <w:embedRegular r:id="rId1" w:fontKey="{B91E8714-8304-5254-9890-86F0308E93B0}"/>
    <w:embedBold r:id="rId2" w:fontKey="{8C35FC3E-349A-5A85-9EE5-147EA724F24F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40" w:line="276" w:lineRule="auto"/>
      <w:jc w:val="center"/>
    </w:pPr>
    <w:r>
      <w:rPr>
        <w:rFonts w:ascii="Poppins" w:hAnsi="Poppins" w:cs="Poppins"/>
        <w:b w:val="0"/>
        <w:sz w:val="15"/>
      </w:rPr>
      <w:t xml:space="preserve">Page </w:t>
    </w:r>
    <w:r>
      <w:rPr>
        <w:rFonts w:ascii="Poppins" w:hAnsi="Poppins" w:cs="Poppins"/>
        <w:b w:val="0"/>
        <w:sz w:val="15"/>
      </w:rPr>
      <w:fldChar w:fldCharType="begin"/>
    </w:r>
    <w:r>
      <w:rPr>
        <w:rFonts w:ascii="Poppins" w:hAnsi="Poppins" w:cs="Poppins"/>
        <w:b w:val="0"/>
        <w:sz w:val="15"/>
      </w:rPr>
      <w:instrText xml:space="preserve">PAGE</w:instrText>
    </w:r>
    <w:r>
      <w:rPr>
        <w:rFonts w:ascii="Poppins" w:hAnsi="Poppins" w:cs="Poppins"/>
        <w:b w:val="0"/>
        <w:sz w:val="15"/>
      </w:rPr>
      <w:fldChar w:fldCharType="end"/>
    </w:r>
    <w:r>
      <w:rPr>
        <w:rFonts w:ascii="Poppins" w:hAnsi="Poppins" w:cs="Poppins"/>
        <w:b w:val="0"/>
        <w:sz w:val="15"/>
      </w:rPr>
      <w:t xml:space="preserve"> of </w:t>
    </w:r>
    <w:r>
      <w:rPr>
        <w:rFonts w:ascii="Poppins" w:hAnsi="Poppins" w:cs="Poppins"/>
        <w:b w:val="0"/>
        <w:sz w:val="15"/>
      </w:rPr>
      <w:fldChar w:fldCharType="begin"/>
    </w:r>
    <w:r>
      <w:rPr>
        <w:rFonts w:ascii="Poppins" w:hAnsi="Poppins" w:cs="Poppins"/>
        <w:b w:val="0"/>
        <w:sz w:val="15"/>
      </w:rPr>
      <w:instrText xml:space="preserve">NUMPAGES</w:instrText>
    </w:r>
    <w:r>
      <w:rPr>
        <w:rFonts w:ascii="Poppins" w:hAnsi="Poppins" w:cs="Poppins"/>
        <w:b w:val="0"/>
        <w:sz w:val="15"/>
      </w:rPr>
      <w:fldChar w:fldCharType="end"/>
    </w:r>
  </w:p>
  <w:p>
    <w:pPr>
      <w:spacing w:before="0" w:after="40" w:line="276" w:lineRule="auto"/>
      <w:jc w:val="center"/>
    </w:pPr>
    <w:r>
      <w:rPr>
        <w:rFonts w:ascii="Poppins" w:hAnsi="Poppins" w:cs="Poppins"/>
        <w:b w:val="0"/>
        <w:sz w:val="15"/>
      </w:rPr>
      <w:t>Confidential. Gig Venture Sdn. Bhd. | 202601000492 (1662590-P)</w:t>
    </w:r>
  </w:p>
  <w:p>
    <w:pPr>
      <w:spacing w:before="0" w:after="40" w:line="276" w:lineRule="auto"/>
      <w:jc w:val="center"/>
    </w:pPr>
    <w:r>
      <w:rPr>
        <w:rFonts w:ascii="Poppins" w:hAnsi="Poppins" w:cs="Poppins"/>
        <w:b w:val="0"/>
        <w:sz w:val="15"/>
      </w:rPr>
      <w:t>This document may not be reproduced without the express consent of Gig Venture Sdn. Bhd.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inline xmlns:a="http://schemas.openxmlformats.org/drawingml/2006/main" xmlns:pic="http://schemas.openxmlformats.org/drawingml/2006/picture">
          <wp:extent cx="6480000" cy="112310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etterhe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0000" cy="112310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Poppins-Regular.odttf"/><Relationship Id="rId2" Type="http://schemas.openxmlformats.org/officeDocument/2006/relationships/font" Target="fonts/Poppins-Bold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